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cs="Times New Roman" w:ascii="Times New Roman" w:hAnsi="Times New Roman"/>
          <w:b/>
          <w:sz w:val="24"/>
          <w:u w:val="single"/>
        </w:rPr>
        <w:t xml:space="preserve">PRZEDMIOTOWY SYSTEM OCENIANIA – </w:t>
      </w:r>
      <w:r>
        <w:rPr>
          <w:rFonts w:cs="Times New Roman" w:ascii="Times New Roman" w:hAnsi="Times New Roman"/>
          <w:b/>
          <w:sz w:val="24"/>
          <w:u w:val="single"/>
        </w:rPr>
        <w:t>PRZYRODA</w:t>
      </w:r>
    </w:p>
    <w:p>
      <w:pPr>
        <w:pStyle w:val="NoSpacing"/>
        <w:rPr>
          <w:rFonts w:ascii="Times New Roman" w:hAnsi="Times New Roman" w:cs="Times New Roman"/>
          <w:i/>
          <w:i/>
          <w:sz w:val="24"/>
          <w:u w:val="single"/>
        </w:rPr>
      </w:pPr>
      <w:r>
        <w:rPr>
          <w:rFonts w:cs="Times New Roman" w:ascii="Times New Roman" w:hAnsi="Times New Roman"/>
          <w:i/>
          <w:sz w:val="24"/>
          <w:u w:val="single"/>
        </w:rPr>
        <w:t>Na zajęcia uczeń przynosi: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zeszyt w kratkę (W zeszycie muszą być wklejone i uzupełnione wszystkie materiały przekazane przez nauczyciela. Rysunki wykonujemy ołówkiem i kredkami (o ile nauczyciel nie zaleci inaczej).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podręcznik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zeszyt ćwiczeń 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przybory (długopis, ołówek, linijka, kredki – czerwona, żółta, zielona)</w:t>
      </w:r>
    </w:p>
    <w:p>
      <w:pPr>
        <w:pStyle w:val="NoSpacing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Spacing"/>
        <w:rPr>
          <w:rFonts w:ascii="Times New Roman" w:hAnsi="Times New Roman" w:cs="Times New Roman"/>
          <w:i/>
          <w:i/>
          <w:sz w:val="24"/>
          <w:u w:val="single"/>
        </w:rPr>
      </w:pPr>
      <w:r>
        <w:rPr>
          <w:rFonts w:cs="Times New Roman" w:ascii="Times New Roman" w:hAnsi="Times New Roman"/>
          <w:i/>
          <w:sz w:val="24"/>
          <w:u w:val="single"/>
        </w:rPr>
        <w:t>Nieprzygotowanie do lekcji i nieobecność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Uczeń ma prawo </w:t>
      </w:r>
      <w:r>
        <w:rPr>
          <w:rFonts w:cs="Times New Roman" w:ascii="Times New Roman" w:hAnsi="Times New Roman"/>
        </w:rPr>
        <w:t>dwa razy</w:t>
      </w:r>
      <w:r>
        <w:rPr>
          <w:rFonts w:cs="Times New Roman" w:ascii="Times New Roman" w:hAnsi="Times New Roman"/>
        </w:rPr>
        <w:t xml:space="preserve"> w półroczu zgłosić nieprzygotowanie do lekcji bez podawania przyczyny.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Uczeń nieprzygotowany ma obowiązek pisać zapowiedziane prace (kartkówki, sprawdziany, testy).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W przypadku tygodniowej lub dłuższej usprawiedliwionej nieobecności uczeń jest zobowiązany do nadrobienia zaległości w ciągu 14 dni od dnia powrotu do szkoły.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u w:val="single"/>
        </w:rPr>
      </w:pPr>
      <w:r>
        <w:rPr>
          <w:rFonts w:cs="Times New Roman" w:ascii="Times New Roman" w:hAnsi="Times New Roman"/>
          <w:i/>
          <w:sz w:val="24"/>
          <w:u w:val="single"/>
        </w:rPr>
        <w:t>Zasady oceniania:</w:t>
      </w:r>
    </w:p>
    <w:tbl>
      <w:tblPr>
        <w:tblStyle w:val="Tabela-Siatka"/>
        <w:tblpPr w:vertAnchor="text" w:horzAnchor="text" w:leftFromText="141" w:rightFromText="141" w:tblpX="0" w:tblpY="1"/>
        <w:tblOverlap w:val="never"/>
        <w:tblW w:w="407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76"/>
        <w:gridCol w:w="1700"/>
      </w:tblGrid>
      <w:tr>
        <w:trPr/>
        <w:tc>
          <w:tcPr>
            <w:tcW w:w="237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AR CENA" w:hAnsi="AR CENA" w:cs="Times New Roman"/>
              </w:rPr>
            </w:pPr>
            <w:r>
              <w:rPr>
                <w:rFonts w:eastAsia="Calibri" w:cs="Times New Roman" w:ascii="AR CENA" w:hAnsi="AR CENA"/>
                <w:kern w:val="0"/>
                <w:sz w:val="22"/>
                <w:szCs w:val="22"/>
                <w:lang w:val="pl-PL" w:eastAsia="en-US" w:bidi="ar-SA"/>
              </w:rPr>
              <w:t>Niedostateczny (1)</w:t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AR CENA" w:hAnsi="AR CENA" w:cs="Times New Roman"/>
              </w:rPr>
            </w:pPr>
            <w:r>
              <w:rPr>
                <w:rFonts w:eastAsia="Calibri" w:cs="Times New Roman" w:ascii="AR CENA" w:hAnsi="AR CENA"/>
                <w:kern w:val="0"/>
                <w:sz w:val="22"/>
                <w:szCs w:val="22"/>
                <w:lang w:val="pl-PL" w:eastAsia="en-US" w:bidi="ar-SA"/>
              </w:rPr>
              <w:t>0 – 34%</w:t>
            </w:r>
          </w:p>
        </w:tc>
      </w:tr>
      <w:tr>
        <w:trPr/>
        <w:tc>
          <w:tcPr>
            <w:tcW w:w="237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AR CENA" w:hAnsi="AR CENA" w:cs="Times New Roman"/>
              </w:rPr>
            </w:pPr>
            <w:r>
              <w:rPr>
                <w:rFonts w:eastAsia="Calibri" w:cs="Times New Roman" w:ascii="AR CENA" w:hAnsi="AR CENA"/>
                <w:kern w:val="0"/>
                <w:sz w:val="22"/>
                <w:szCs w:val="22"/>
                <w:lang w:val="pl-PL" w:eastAsia="en-US" w:bidi="ar-SA"/>
              </w:rPr>
              <w:t>Dopuszczaj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ą</w:t>
            </w:r>
            <w:r>
              <w:rPr>
                <w:rFonts w:eastAsia="Calibri" w:cs="Times New Roman" w:ascii="AR CENA" w:hAnsi="AR CENA"/>
                <w:kern w:val="0"/>
                <w:sz w:val="22"/>
                <w:szCs w:val="22"/>
                <w:lang w:val="pl-PL" w:eastAsia="en-US" w:bidi="ar-SA"/>
              </w:rPr>
              <w:t>cy (2)</w:t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AR CENA" w:hAnsi="AR CENA" w:cs="Times New Roman"/>
              </w:rPr>
            </w:pPr>
            <w:r>
              <w:rPr>
                <w:rFonts w:eastAsia="Calibri" w:cs="Times New Roman" w:ascii="AR CENA" w:hAnsi="AR CENA"/>
                <w:kern w:val="0"/>
                <w:sz w:val="22"/>
                <w:szCs w:val="22"/>
                <w:lang w:val="pl-PL" w:eastAsia="en-US" w:bidi="ar-SA"/>
              </w:rPr>
              <w:t>35 – 50%</w:t>
            </w:r>
          </w:p>
        </w:tc>
      </w:tr>
      <w:tr>
        <w:trPr/>
        <w:tc>
          <w:tcPr>
            <w:tcW w:w="237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AR CENA" w:hAnsi="AR CENA" w:cs="Times New Roman"/>
              </w:rPr>
            </w:pPr>
            <w:r>
              <w:rPr>
                <w:rFonts w:eastAsia="Calibri" w:cs="Times New Roman" w:ascii="AR CENA" w:hAnsi="AR CENA"/>
                <w:kern w:val="0"/>
                <w:sz w:val="22"/>
                <w:szCs w:val="22"/>
                <w:lang w:val="pl-PL" w:eastAsia="en-US" w:bidi="ar-SA"/>
              </w:rPr>
              <w:t>Dostateczny (3)</w:t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AR CENA" w:hAnsi="AR CENA" w:cs="Times New Roman"/>
              </w:rPr>
            </w:pPr>
            <w:r>
              <w:rPr>
                <w:rFonts w:eastAsia="Calibri" w:cs="Times New Roman" w:ascii="AR CENA" w:hAnsi="AR CENA"/>
                <w:kern w:val="0"/>
                <w:sz w:val="22"/>
                <w:szCs w:val="22"/>
                <w:lang w:val="pl-PL" w:eastAsia="en-US" w:bidi="ar-SA"/>
              </w:rPr>
              <w:t>51 – 74%</w:t>
            </w:r>
          </w:p>
        </w:tc>
      </w:tr>
      <w:tr>
        <w:trPr/>
        <w:tc>
          <w:tcPr>
            <w:tcW w:w="237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AR CENA" w:hAnsi="AR CENA" w:cs="Times New Roman"/>
              </w:rPr>
            </w:pPr>
            <w:r>
              <w:rPr>
                <w:rFonts w:eastAsia="Calibri" w:cs="Times New Roman" w:ascii="AR CENA" w:hAnsi="AR CENA"/>
                <w:kern w:val="0"/>
                <w:sz w:val="22"/>
                <w:szCs w:val="22"/>
                <w:lang w:val="pl-PL" w:eastAsia="en-US" w:bidi="ar-SA"/>
              </w:rPr>
              <w:t>Dobry (4)</w:t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AR CENA" w:hAnsi="AR CENA" w:cs="Times New Roman"/>
              </w:rPr>
            </w:pPr>
            <w:r>
              <w:rPr>
                <w:rFonts w:eastAsia="Calibri" w:cs="Times New Roman" w:ascii="AR CENA" w:hAnsi="AR CENA"/>
                <w:kern w:val="0"/>
                <w:sz w:val="22"/>
                <w:szCs w:val="22"/>
                <w:lang w:val="pl-PL" w:eastAsia="en-US" w:bidi="ar-SA"/>
              </w:rPr>
              <w:t>75 – 90%</w:t>
            </w:r>
          </w:p>
        </w:tc>
      </w:tr>
      <w:tr>
        <w:trPr/>
        <w:tc>
          <w:tcPr>
            <w:tcW w:w="237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AR CENA" w:hAnsi="AR CENA" w:cs="Times New Roman"/>
              </w:rPr>
            </w:pPr>
            <w:r>
              <w:rPr>
                <w:rFonts w:eastAsia="Calibri" w:cs="Times New Roman" w:ascii="AR CENA" w:hAnsi="AR CENA"/>
                <w:kern w:val="0"/>
                <w:sz w:val="22"/>
                <w:szCs w:val="22"/>
                <w:lang w:val="pl-PL" w:eastAsia="en-US" w:bidi="ar-SA"/>
              </w:rPr>
              <w:t>Bardzo dobry (5)</w:t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AR CENA" w:hAnsi="AR CENA" w:cs="Times New Roman"/>
              </w:rPr>
            </w:pPr>
            <w:r>
              <w:rPr>
                <w:rFonts w:eastAsia="Calibri" w:cs="Times New Roman" w:ascii="AR CENA" w:hAnsi="AR CENA"/>
                <w:kern w:val="0"/>
                <w:sz w:val="22"/>
                <w:szCs w:val="22"/>
                <w:lang w:val="pl-PL" w:eastAsia="en-US" w:bidi="ar-SA"/>
              </w:rPr>
              <w:t>91 – 99%</w:t>
            </w:r>
          </w:p>
        </w:tc>
      </w:tr>
      <w:tr>
        <w:trPr/>
        <w:tc>
          <w:tcPr>
            <w:tcW w:w="237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AR CENA" w:hAnsi="AR CENA" w:cs="Times New Roman"/>
              </w:rPr>
            </w:pPr>
            <w:r>
              <w:rPr>
                <w:rFonts w:eastAsia="Calibri" w:cs="Times New Roman" w:ascii="AR CENA" w:hAnsi="AR CENA"/>
                <w:kern w:val="0"/>
                <w:sz w:val="22"/>
                <w:szCs w:val="22"/>
                <w:lang w:val="pl-PL" w:eastAsia="en-US" w:bidi="ar-SA"/>
              </w:rPr>
              <w:t>Celuj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ą</w:t>
            </w:r>
            <w:r>
              <w:rPr>
                <w:rFonts w:eastAsia="Calibri" w:cs="Times New Roman" w:ascii="AR CENA" w:hAnsi="AR CENA"/>
                <w:kern w:val="0"/>
                <w:sz w:val="22"/>
                <w:szCs w:val="22"/>
                <w:lang w:val="pl-PL" w:eastAsia="en-US" w:bidi="ar-SA"/>
              </w:rPr>
              <w:t>cy (6)</w:t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AR CENA" w:hAnsi="AR CENA" w:cs="Times New Roman"/>
              </w:rPr>
            </w:pPr>
            <w:r>
              <w:rPr>
                <w:rFonts w:eastAsia="Calibri" w:cs="Times New Roman" w:ascii="AR CENA" w:hAnsi="AR CENA"/>
                <w:kern w:val="0"/>
                <w:sz w:val="22"/>
                <w:szCs w:val="22"/>
                <w:lang w:val="pl-PL" w:eastAsia="en-US" w:bidi="ar-SA"/>
              </w:rPr>
              <w:t>100%</w:t>
            </w:r>
          </w:p>
        </w:tc>
      </w:tr>
    </w:tbl>
    <w:p>
      <w:pPr>
        <w:pStyle w:val="NoSpacing"/>
        <w:rPr>
          <w:rFonts w:ascii="Times New Roman" w:hAnsi="Times New Roman" w:cs="Times New Roman"/>
          <w:u w:val="single"/>
        </w:rPr>
      </w:pPr>
      <w:r/>
      <w:r>
        <w:rPr>
          <w:rFonts w:cs="Times New Roman" w:ascii="Times New Roman" w:hAnsi="Times New Roman"/>
          <w:u w:val="single"/>
        </w:rPr>
        <w:t>Waga ocen: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Sprawdzian – waga 5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Kartkówka, odpowiedź ustna, praca długoterminowa – waga 3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Aktywność, praca na lekcji – waga 1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Ocena śródroczna oraz roczna nie stanowią średniej arytmetycznej ocen cząstkowych. </w:t>
      </w:r>
    </w:p>
    <w:p>
      <w:pPr>
        <w:pStyle w:val="Normal"/>
        <w:rPr>
          <w:rFonts w:ascii="Times New Roman" w:hAnsi="Times New Roman" w:cs="Times New Roman"/>
          <w:i/>
          <w:i/>
          <w:sz w:val="24"/>
          <w:u w:val="single"/>
        </w:rPr>
      </w:pPr>
      <w:r>
        <w:rPr>
          <w:rFonts w:cs="Times New Roman" w:ascii="Times New Roman" w:hAnsi="Times New Roman"/>
          <w:i/>
          <w:sz w:val="24"/>
          <w:u w:val="single"/>
        </w:rPr>
        <w:t>Formy pracy podlegające ocenie:</w:t>
      </w:r>
    </w:p>
    <w:p>
      <w:pPr>
        <w:pStyle w:val="NoSpacing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 xml:space="preserve">1. SPRAWDZIANY 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Zapowiedziane z tygodniowym wyprzedzeniem, zanotowane w dzienniku, poprzedzone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powtórzeniem materiału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sprawdzają wiedzę i umiejętności z działu lub dwóch mniejszych rozdziałów, trwają całą lekcję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obowiązkowe - uczeń, który nie uczestniczył w pracy klasowej, ma obowiązek napisania jej w ustalonym z nauczycielem terminie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Uczeń ma prawo poprawić sprawdzian w terminie do dwóch tygodni od oddania i omówienia pracy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2. KARTKÓWKI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nie muszą być zapowiedziane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obejmują materiał z 3 ostatnich lekcji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3. ODPOWIEDŹ USTNA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z 3 ostatnich lekcji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4. PRACA NA LEKCJI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oceniana znakiem „+” lub „-”. Pięć plusów daje ocenę celującą, cztery minusy ocenę niedostateczną.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rPr>
          <w:rFonts w:ascii="Times New Roman" w:hAnsi="Times New Roman" w:cs="Times New Roman"/>
          <w:b/>
          <w:u w:val="single"/>
        </w:rPr>
      </w:pPr>
      <w:r>
        <w:rPr>
          <w:rFonts w:cs="Times New Roman" w:ascii="Times New Roman" w:hAnsi="Times New Roman"/>
          <w:b/>
          <w:u w:val="none"/>
        </w:rPr>
        <w:t xml:space="preserve">5. </w:t>
      </w:r>
      <w:r>
        <w:rPr>
          <w:rFonts w:cs="Times New Roman" w:ascii="Times New Roman" w:hAnsi="Times New Roman"/>
          <w:b/>
        </w:rPr>
        <w:t>ZADANIA DŁUGOTERMINOWE</w:t>
      </w:r>
      <w:r>
        <w:rPr>
          <w:rFonts w:cs="Times New Roman" w:ascii="Times New Roman" w:hAnsi="Times New Roman"/>
          <w:b/>
          <w:u w:val="single"/>
        </w:rPr>
        <w:t>,</w:t>
      </w:r>
      <w:r>
        <w:rPr>
          <w:rFonts w:cs="Times New Roman" w:ascii="Times New Roman" w:hAnsi="Times New Roman"/>
          <w:b/>
          <w:u w:val="none"/>
        </w:rPr>
        <w:t xml:space="preserve"> PROJEKTY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prezentacje, zielniki, lapbooki, doświadczenia, modele, itd.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wykonywane samodzielnie przez uczniów lub w grupach i prezentowane na lekcji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Podpis ucznia:……………………….                                    podpis rodzica……………………………</w:t>
      </w:r>
    </w:p>
    <w:p>
      <w:pPr>
        <w:pStyle w:val="NoSpacing"/>
        <w:rPr>
          <w:rFonts w:ascii="Times New Roman" w:hAnsi="Times New Roman" w:cs="Times New Roman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cs="Times New Roman" w:ascii="Times New Roman" w:hAnsi="Times New Roman"/>
          <w:b/>
          <w:sz w:val="24"/>
          <w:u w:val="single"/>
        </w:rPr>
        <w:t xml:space="preserve">PRZEDMIOTOWY SYSTEM OCENIANIA – </w:t>
      </w:r>
      <w:r>
        <w:rPr>
          <w:rFonts w:cs="Times New Roman" w:ascii="Times New Roman" w:hAnsi="Times New Roman"/>
          <w:b/>
          <w:sz w:val="24"/>
          <w:u w:val="single"/>
        </w:rPr>
        <w:t>PRZYRODA</w:t>
      </w:r>
    </w:p>
    <w:p>
      <w:pPr>
        <w:pStyle w:val="NoSpacing"/>
        <w:rPr>
          <w:rFonts w:ascii="Times New Roman" w:hAnsi="Times New Roman" w:cs="Times New Roman"/>
          <w:i/>
          <w:i/>
          <w:sz w:val="24"/>
          <w:u w:val="single"/>
        </w:rPr>
      </w:pPr>
      <w:r>
        <w:rPr>
          <w:rFonts w:cs="Times New Roman" w:ascii="Times New Roman" w:hAnsi="Times New Roman"/>
          <w:i/>
          <w:sz w:val="24"/>
          <w:u w:val="single"/>
        </w:rPr>
        <w:t>Na zajęcia uczeń przynosi: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zeszyt w kratkę (W zeszycie muszą być wklejone i uzupełnione wszystkie materiały przekazane przez nauczyciela. Rysunki wykonujemy ołówkiem i kredkami (o ile nauczyciel nie zaleci inaczej).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podręcznik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zeszyt ćwiczeń 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przybory (długopis, ołówek, linijka, kredki – czerwona, żółta, zielona)</w:t>
      </w:r>
    </w:p>
    <w:p>
      <w:pPr>
        <w:pStyle w:val="NoSpacing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Spacing"/>
        <w:rPr>
          <w:rFonts w:ascii="Times New Roman" w:hAnsi="Times New Roman" w:cs="Times New Roman"/>
          <w:i/>
          <w:i/>
          <w:sz w:val="24"/>
          <w:u w:val="single"/>
        </w:rPr>
      </w:pPr>
      <w:r>
        <w:rPr>
          <w:rFonts w:cs="Times New Roman" w:ascii="Times New Roman" w:hAnsi="Times New Roman"/>
          <w:i/>
          <w:sz w:val="24"/>
          <w:u w:val="single"/>
        </w:rPr>
        <w:t>Nieprzygotowanie do lekcji i nieobecność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Uczeń ma prawo </w:t>
      </w:r>
      <w:r>
        <w:rPr>
          <w:rFonts w:cs="Times New Roman" w:ascii="Times New Roman" w:hAnsi="Times New Roman"/>
        </w:rPr>
        <w:t>dwa razy</w:t>
      </w:r>
      <w:r>
        <w:rPr>
          <w:rFonts w:cs="Times New Roman" w:ascii="Times New Roman" w:hAnsi="Times New Roman"/>
        </w:rPr>
        <w:t xml:space="preserve"> w półroczu zgłosić nieprzygotowanie do lekcji bez podawania przyczyny.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Uczeń nieprzygotowany ma obowiązek pisać zapowiedziane prace (kartkówki, sprawdziany, testy).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W przypadku tygodniowej lub dłuższej usprawiedliwionej nieobecności uczeń jest zobowiązany do nadrobienia zaległości w ciągu 14 dni od dnia powrotu do szkoły.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u w:val="single"/>
        </w:rPr>
      </w:pPr>
      <w:r>
        <w:rPr>
          <w:rFonts w:cs="Times New Roman" w:ascii="Times New Roman" w:hAnsi="Times New Roman"/>
          <w:i/>
          <w:sz w:val="24"/>
          <w:u w:val="single"/>
        </w:rPr>
        <w:t>Zasady oceniania:</w:t>
      </w:r>
    </w:p>
    <w:tbl>
      <w:tblPr>
        <w:tblStyle w:val="Tabela-Siatka"/>
        <w:tblpPr w:vertAnchor="text" w:horzAnchor="text" w:leftFromText="141" w:rightFromText="141" w:tblpX="0" w:tblpY="1"/>
        <w:tblOverlap w:val="never"/>
        <w:tblW w:w="407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76"/>
        <w:gridCol w:w="1700"/>
      </w:tblGrid>
      <w:tr>
        <w:trPr/>
        <w:tc>
          <w:tcPr>
            <w:tcW w:w="237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AR CENA" w:hAnsi="AR CENA" w:cs="Times New Roman"/>
              </w:rPr>
            </w:pPr>
            <w:r>
              <w:rPr>
                <w:rFonts w:eastAsia="Calibri" w:cs="Times New Roman" w:ascii="AR CENA" w:hAnsi="AR CENA"/>
                <w:kern w:val="0"/>
                <w:sz w:val="22"/>
                <w:szCs w:val="22"/>
                <w:lang w:val="pl-PL" w:eastAsia="en-US" w:bidi="ar-SA"/>
              </w:rPr>
              <w:t>Niedostateczny (1)</w:t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AR CENA" w:hAnsi="AR CENA" w:cs="Times New Roman"/>
              </w:rPr>
            </w:pPr>
            <w:r>
              <w:rPr>
                <w:rFonts w:eastAsia="Calibri" w:cs="Times New Roman" w:ascii="AR CENA" w:hAnsi="AR CENA"/>
                <w:kern w:val="0"/>
                <w:sz w:val="22"/>
                <w:szCs w:val="22"/>
                <w:lang w:val="pl-PL" w:eastAsia="en-US" w:bidi="ar-SA"/>
              </w:rPr>
              <w:t>0 – 34%</w:t>
            </w:r>
          </w:p>
        </w:tc>
      </w:tr>
      <w:tr>
        <w:trPr/>
        <w:tc>
          <w:tcPr>
            <w:tcW w:w="237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AR CENA" w:hAnsi="AR CENA" w:cs="Times New Roman"/>
              </w:rPr>
            </w:pPr>
            <w:r>
              <w:rPr>
                <w:rFonts w:eastAsia="Calibri" w:cs="Times New Roman" w:ascii="AR CENA" w:hAnsi="AR CENA"/>
                <w:kern w:val="0"/>
                <w:sz w:val="22"/>
                <w:szCs w:val="22"/>
                <w:lang w:val="pl-PL" w:eastAsia="en-US" w:bidi="ar-SA"/>
              </w:rPr>
              <w:t>Dopuszczaj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ą</w:t>
            </w:r>
            <w:r>
              <w:rPr>
                <w:rFonts w:eastAsia="Calibri" w:cs="Times New Roman" w:ascii="AR CENA" w:hAnsi="AR CENA"/>
                <w:kern w:val="0"/>
                <w:sz w:val="22"/>
                <w:szCs w:val="22"/>
                <w:lang w:val="pl-PL" w:eastAsia="en-US" w:bidi="ar-SA"/>
              </w:rPr>
              <w:t>cy (2)</w:t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AR CENA" w:hAnsi="AR CENA" w:cs="Times New Roman"/>
              </w:rPr>
            </w:pPr>
            <w:r>
              <w:rPr>
                <w:rFonts w:eastAsia="Calibri" w:cs="Times New Roman" w:ascii="AR CENA" w:hAnsi="AR CENA"/>
                <w:kern w:val="0"/>
                <w:sz w:val="22"/>
                <w:szCs w:val="22"/>
                <w:lang w:val="pl-PL" w:eastAsia="en-US" w:bidi="ar-SA"/>
              </w:rPr>
              <w:t>35 – 50%</w:t>
            </w:r>
          </w:p>
        </w:tc>
      </w:tr>
      <w:tr>
        <w:trPr/>
        <w:tc>
          <w:tcPr>
            <w:tcW w:w="237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AR CENA" w:hAnsi="AR CENA" w:cs="Times New Roman"/>
              </w:rPr>
            </w:pPr>
            <w:r>
              <w:rPr>
                <w:rFonts w:eastAsia="Calibri" w:cs="Times New Roman" w:ascii="AR CENA" w:hAnsi="AR CENA"/>
                <w:kern w:val="0"/>
                <w:sz w:val="22"/>
                <w:szCs w:val="22"/>
                <w:lang w:val="pl-PL" w:eastAsia="en-US" w:bidi="ar-SA"/>
              </w:rPr>
              <w:t>Dostateczny (3)</w:t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AR CENA" w:hAnsi="AR CENA" w:cs="Times New Roman"/>
              </w:rPr>
            </w:pPr>
            <w:r>
              <w:rPr>
                <w:rFonts w:eastAsia="Calibri" w:cs="Times New Roman" w:ascii="AR CENA" w:hAnsi="AR CENA"/>
                <w:kern w:val="0"/>
                <w:sz w:val="22"/>
                <w:szCs w:val="22"/>
                <w:lang w:val="pl-PL" w:eastAsia="en-US" w:bidi="ar-SA"/>
              </w:rPr>
              <w:t>51 – 74%</w:t>
            </w:r>
          </w:p>
        </w:tc>
      </w:tr>
      <w:tr>
        <w:trPr/>
        <w:tc>
          <w:tcPr>
            <w:tcW w:w="237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AR CENA" w:hAnsi="AR CENA" w:cs="Times New Roman"/>
              </w:rPr>
            </w:pPr>
            <w:r>
              <w:rPr>
                <w:rFonts w:eastAsia="Calibri" w:cs="Times New Roman" w:ascii="AR CENA" w:hAnsi="AR CENA"/>
                <w:kern w:val="0"/>
                <w:sz w:val="22"/>
                <w:szCs w:val="22"/>
                <w:lang w:val="pl-PL" w:eastAsia="en-US" w:bidi="ar-SA"/>
              </w:rPr>
              <w:t>Dobry (4)</w:t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AR CENA" w:hAnsi="AR CENA" w:cs="Times New Roman"/>
              </w:rPr>
            </w:pPr>
            <w:r>
              <w:rPr>
                <w:rFonts w:eastAsia="Calibri" w:cs="Times New Roman" w:ascii="AR CENA" w:hAnsi="AR CENA"/>
                <w:kern w:val="0"/>
                <w:sz w:val="22"/>
                <w:szCs w:val="22"/>
                <w:lang w:val="pl-PL" w:eastAsia="en-US" w:bidi="ar-SA"/>
              </w:rPr>
              <w:t>75 – 90%</w:t>
            </w:r>
          </w:p>
        </w:tc>
      </w:tr>
      <w:tr>
        <w:trPr/>
        <w:tc>
          <w:tcPr>
            <w:tcW w:w="237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AR CENA" w:hAnsi="AR CENA" w:cs="Times New Roman"/>
              </w:rPr>
            </w:pPr>
            <w:r>
              <w:rPr>
                <w:rFonts w:eastAsia="Calibri" w:cs="Times New Roman" w:ascii="AR CENA" w:hAnsi="AR CENA"/>
                <w:kern w:val="0"/>
                <w:sz w:val="22"/>
                <w:szCs w:val="22"/>
                <w:lang w:val="pl-PL" w:eastAsia="en-US" w:bidi="ar-SA"/>
              </w:rPr>
              <w:t>Bardzo dobry (5)</w:t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AR CENA" w:hAnsi="AR CENA" w:cs="Times New Roman"/>
              </w:rPr>
            </w:pPr>
            <w:r>
              <w:rPr>
                <w:rFonts w:eastAsia="Calibri" w:cs="Times New Roman" w:ascii="AR CENA" w:hAnsi="AR CENA"/>
                <w:kern w:val="0"/>
                <w:sz w:val="22"/>
                <w:szCs w:val="22"/>
                <w:lang w:val="pl-PL" w:eastAsia="en-US" w:bidi="ar-SA"/>
              </w:rPr>
              <w:t>91 – 99%</w:t>
            </w:r>
          </w:p>
        </w:tc>
      </w:tr>
      <w:tr>
        <w:trPr/>
        <w:tc>
          <w:tcPr>
            <w:tcW w:w="237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AR CENA" w:hAnsi="AR CENA" w:cs="Times New Roman"/>
              </w:rPr>
            </w:pPr>
            <w:r>
              <w:rPr>
                <w:rFonts w:eastAsia="Calibri" w:cs="Times New Roman" w:ascii="AR CENA" w:hAnsi="AR CENA"/>
                <w:kern w:val="0"/>
                <w:sz w:val="22"/>
                <w:szCs w:val="22"/>
                <w:lang w:val="pl-PL" w:eastAsia="en-US" w:bidi="ar-SA"/>
              </w:rPr>
              <w:t>Celuj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ą</w:t>
            </w:r>
            <w:r>
              <w:rPr>
                <w:rFonts w:eastAsia="Calibri" w:cs="Times New Roman" w:ascii="AR CENA" w:hAnsi="AR CENA"/>
                <w:kern w:val="0"/>
                <w:sz w:val="22"/>
                <w:szCs w:val="22"/>
                <w:lang w:val="pl-PL" w:eastAsia="en-US" w:bidi="ar-SA"/>
              </w:rPr>
              <w:t>cy (6)</w:t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AR CENA" w:hAnsi="AR CENA" w:cs="Times New Roman"/>
              </w:rPr>
            </w:pPr>
            <w:r>
              <w:rPr>
                <w:rFonts w:eastAsia="Calibri" w:cs="Times New Roman" w:ascii="AR CENA" w:hAnsi="AR CENA"/>
                <w:kern w:val="0"/>
                <w:sz w:val="22"/>
                <w:szCs w:val="22"/>
                <w:lang w:val="pl-PL" w:eastAsia="en-US" w:bidi="ar-SA"/>
              </w:rPr>
              <w:t>100%</w:t>
            </w:r>
          </w:p>
        </w:tc>
      </w:tr>
    </w:tbl>
    <w:p>
      <w:pPr>
        <w:pStyle w:val="NoSpacing"/>
        <w:rPr>
          <w:rFonts w:ascii="Times New Roman" w:hAnsi="Times New Roman" w:cs="Times New Roman"/>
          <w:u w:val="single"/>
        </w:rPr>
      </w:pPr>
      <w:r/>
      <w:r>
        <w:rPr>
          <w:rFonts w:cs="Times New Roman" w:ascii="Times New Roman" w:hAnsi="Times New Roman"/>
          <w:u w:val="single"/>
        </w:rPr>
        <w:t>Waga ocen: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Sprawdzian – waga 5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Kartkówka, odpowiedź ustna, praca długoterminowa – waga 3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Aktywność, praca na lekcji – waga 1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Ocena śródroczna oraz roczna nie stanowią średniej arytmetycznej ocen cząstkowych. </w:t>
      </w:r>
    </w:p>
    <w:p>
      <w:pPr>
        <w:pStyle w:val="Normal"/>
        <w:rPr>
          <w:rFonts w:ascii="Times New Roman" w:hAnsi="Times New Roman" w:cs="Times New Roman"/>
          <w:i/>
          <w:i/>
          <w:sz w:val="24"/>
          <w:u w:val="single"/>
        </w:rPr>
      </w:pPr>
      <w:r>
        <w:rPr>
          <w:rFonts w:cs="Times New Roman" w:ascii="Times New Roman" w:hAnsi="Times New Roman"/>
          <w:i/>
          <w:sz w:val="24"/>
          <w:u w:val="single"/>
        </w:rPr>
        <w:t>Formy pracy podlegające ocenie:</w:t>
      </w:r>
    </w:p>
    <w:p>
      <w:pPr>
        <w:pStyle w:val="NoSpacing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 xml:space="preserve">1. SPRAWDZIANY 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Zapowiedziane z tygodniowym wyprzedzeniem, zanotowane w dzienniku, poprzedzone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powtórzeniem materiału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sprawdzają wiedzę i umiejętności z działu lub dwóch mniejszych rozdziałów, trwają całą lekcję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obowiązkowe - uczeń, który nie uczestniczył w pracy klasowej, ma obowiązek napisania jej w ustalonym z nauczycielem terminie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Uczeń ma prawo poprawić sprawdzian w terminie do dwóch tygodni od oddania i omówienia pracy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2. KARTKÓWKI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nie muszą być zapowiedziane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obejmują materiał z 3 ostatnich lekcji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3. ODPOWIEDŹ USTNA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z 3 ostatnich lekcji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4. PRACA NA LEKCJI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oceniana znakiem „+” lub „-”. Pięć plusów daje ocenę celującą, cztery minusy ocenę niedostateczną.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rPr>
          <w:rFonts w:ascii="Times New Roman" w:hAnsi="Times New Roman" w:cs="Times New Roman"/>
          <w:b/>
          <w:u w:val="single"/>
        </w:rPr>
      </w:pPr>
      <w:r>
        <w:rPr>
          <w:rFonts w:cs="Times New Roman" w:ascii="Times New Roman" w:hAnsi="Times New Roman"/>
          <w:b/>
          <w:u w:val="none"/>
        </w:rPr>
        <w:t xml:space="preserve">5. </w:t>
      </w:r>
      <w:r>
        <w:rPr>
          <w:rFonts w:cs="Times New Roman" w:ascii="Times New Roman" w:hAnsi="Times New Roman"/>
          <w:b/>
        </w:rPr>
        <w:t>ZADANIA DŁUGOTERMINOWE</w:t>
      </w:r>
      <w:r>
        <w:rPr>
          <w:rFonts w:cs="Times New Roman" w:ascii="Times New Roman" w:hAnsi="Times New Roman"/>
          <w:b/>
          <w:u w:val="single"/>
        </w:rPr>
        <w:t>,</w:t>
      </w:r>
      <w:r>
        <w:rPr>
          <w:rFonts w:cs="Times New Roman" w:ascii="Times New Roman" w:hAnsi="Times New Roman"/>
          <w:b/>
          <w:u w:val="none"/>
        </w:rPr>
        <w:t xml:space="preserve"> PROJEKTY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prezentacje, zielniki, lapbooki, doświadczenia, modele, itd.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wykonywane samodzielnie przez uczniów lub w grupach i prezentowane na lekcji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Podpis ucznia:……………………….                                    podpis rodzica:…………………………...</w:t>
      </w:r>
    </w:p>
    <w:sectPr>
      <w:type w:val="nextPage"/>
      <w:pgSz w:w="11906" w:h="16838"/>
      <w:pgMar w:left="1418" w:right="1418" w:gutter="0" w:header="0" w:top="1418" w:footer="0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 CEN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093fb7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940c69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93fb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wartoramki">
    <w:name w:val="Zawartość ramki"/>
    <w:basedOn w:val="Normal"/>
    <w:qFormat/>
    <w:pPr/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571a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Application>LibreOffice/24.2.4.2$Windows_X86_64 LibreOffice_project/51a6219feb6075d9a4c46691dcfe0cd9c4fff3c2</Application>
  <AppVersion>15.0000</AppVersion>
  <Pages>2</Pages>
  <Words>582</Words>
  <Characters>3539</Characters>
  <CharactersWithSpaces>4125</CharactersWithSpaces>
  <Paragraphs>92</Paragraphs>
  <Company>Sil-art Rycho444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2023-09-04T16:08:00Z</dcterms:created>
  <dc:creator>Kowalski Ryszard</dc:creator>
  <dc:description/>
  <dc:language>pl-PL</dc:language>
  <cp:lastModifiedBy/>
  <cp:lastPrinted>2023-09-04T15:52:00Z</cp:lastPrinted>
  <dcterms:modified xsi:type="dcterms:W3CDTF">2024-09-06T00:16:55Z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